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08D9" w14:textId="77777777" w:rsidR="00BB3C50" w:rsidRPr="00BB3C50" w:rsidRDefault="00BB3C50" w:rsidP="00BB3C50">
      <w:pPr>
        <w:widowControl w:val="0"/>
        <w:spacing w:after="120" w:line="240" w:lineRule="auto"/>
        <w:rPr>
          <w:rFonts w:ascii="Calibri" w:eastAsia="Times New Roman" w:hAnsi="Calibri" w:cs="Times New Roman"/>
          <w:sz w:val="28"/>
          <w:szCs w:val="28"/>
        </w:rPr>
      </w:pPr>
      <w:r w:rsidRPr="00BB3C50">
        <w:rPr>
          <w:rFonts w:ascii="Calibri" w:eastAsia="Times New Roman" w:hAnsi="Calibri" w:cs="Times New Roman"/>
          <w:sz w:val="28"/>
          <w:szCs w:val="28"/>
        </w:rPr>
        <w:t>IOM Mission – (Danwadaag Durable Solutions Consortium)</w:t>
      </w:r>
    </w:p>
    <w:p w14:paraId="36495369" w14:textId="77777777" w:rsidR="00BB3C50" w:rsidRPr="00BB3C50" w:rsidRDefault="00BB3C50" w:rsidP="00BB3C50">
      <w:pPr>
        <w:widowControl w:val="0"/>
        <w:spacing w:after="120" w:line="240" w:lineRule="auto"/>
        <w:rPr>
          <w:rFonts w:ascii="Calibri" w:eastAsia="Times New Roman" w:hAnsi="Calibri" w:cs="Times New Roman"/>
          <w:sz w:val="28"/>
          <w:szCs w:val="28"/>
        </w:rPr>
      </w:pPr>
      <w:r w:rsidRPr="00BB3C50">
        <w:rPr>
          <w:rFonts w:ascii="Calibri" w:eastAsia="Times New Roman" w:hAnsi="Calibri" w:cs="Times New Roman"/>
          <w:sz w:val="28"/>
          <w:szCs w:val="28"/>
        </w:rPr>
        <w:t xml:space="preserve">IOM Call for Expression of Interest ID#: </w:t>
      </w:r>
    </w:p>
    <w:p w14:paraId="3611B03F" w14:textId="77777777" w:rsidR="00BB3C50" w:rsidRPr="00BB3C50" w:rsidRDefault="00BB3C50" w:rsidP="00BB3C50">
      <w:pPr>
        <w:widowControl w:val="0"/>
        <w:spacing w:after="120" w:line="240" w:lineRule="auto"/>
        <w:jc w:val="center"/>
        <w:rPr>
          <w:rFonts w:ascii="Calibri" w:eastAsia="Times New Roman" w:hAnsi="Calibri" w:cs="Times New Roman"/>
          <w:b/>
          <w:bCs/>
          <w:sz w:val="28"/>
          <w:szCs w:val="28"/>
        </w:rPr>
      </w:pPr>
      <w:r w:rsidRPr="00BB3C50">
        <w:rPr>
          <w:rFonts w:ascii="Calibri" w:eastAsia="Times New Roman" w:hAnsi="Calibri" w:cs="Times New Roman"/>
          <w:b/>
          <w:bCs/>
          <w:sz w:val="28"/>
          <w:szCs w:val="28"/>
        </w:rPr>
        <w:t>Terms of Reference</w:t>
      </w:r>
    </w:p>
    <w:p w14:paraId="5FA33734" w14:textId="77777777" w:rsidR="00BB3C50" w:rsidRPr="00BB3C50" w:rsidRDefault="00BB3C50" w:rsidP="00BB3C50">
      <w:pPr>
        <w:widowControl w:val="0"/>
        <w:spacing w:after="120" w:line="240" w:lineRule="auto"/>
        <w:jc w:val="center"/>
        <w:rPr>
          <w:rFonts w:ascii="Calibri" w:eastAsia="Times New Roman" w:hAnsi="Calibri" w:cs="Times New Roman"/>
          <w:b/>
          <w:bCs/>
        </w:rPr>
      </w:pPr>
      <w:r w:rsidRPr="00BB3C50">
        <w:rPr>
          <w:rFonts w:ascii="Calibri" w:eastAsia="Times New Roman" w:hAnsi="Calibri" w:cs="Times New Roman"/>
          <w:b/>
          <w:bCs/>
        </w:rPr>
        <w:t xml:space="preserve"> </w:t>
      </w:r>
    </w:p>
    <w:tbl>
      <w:tblPr>
        <w:tblStyle w:val="TableGrid1"/>
        <w:tblW w:w="0" w:type="auto"/>
        <w:jc w:val="center"/>
        <w:tblLayout w:type="fixed"/>
        <w:tblLook w:val="04A0" w:firstRow="1" w:lastRow="0" w:firstColumn="1" w:lastColumn="0" w:noHBand="0" w:noVBand="1"/>
      </w:tblPr>
      <w:tblGrid>
        <w:gridCol w:w="9015"/>
      </w:tblGrid>
      <w:tr w:rsidR="00BB3C50" w:rsidRPr="00BB3C50" w14:paraId="23318A0E"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1389A953"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Introduction</w:t>
            </w:r>
          </w:p>
        </w:tc>
      </w:tr>
      <w:tr w:rsidR="00BB3C50" w:rsidRPr="00BB3C50" w14:paraId="4DF08C35" w14:textId="77777777" w:rsidTr="002E3BAC">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3E89F7B4"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IOM obtained a voluntary contribution of 1.2 million USD from the U.S. Agency for International Development to finance a project/</w:t>
            </w:r>
            <w:proofErr w:type="spellStart"/>
            <w:r w:rsidRPr="00BB3C50">
              <w:rPr>
                <w:rFonts w:ascii="Calibri" w:eastAsia="Times New Roman" w:hAnsi="Calibri" w:cs="Times New Roman"/>
              </w:rPr>
              <w:t>programme</w:t>
            </w:r>
            <w:proofErr w:type="spellEnd"/>
            <w:r w:rsidRPr="00BB3C50">
              <w:rPr>
                <w:rFonts w:ascii="Calibri" w:eastAsia="Times New Roman" w:hAnsi="Calibri" w:cs="Times New Roman"/>
              </w:rPr>
              <w:t xml:space="preserve"> entitled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Stabilization &amp; Durable Solutions Programming. The programme implementation period is for 12 months.</w:t>
            </w:r>
            <w:r w:rsidRPr="00BB3C50">
              <w:rPr>
                <w:rFonts w:ascii="Calibri" w:eastAsia="Calibri" w:hAnsi="Calibri" w:cs="Times New Roman"/>
              </w:rPr>
              <w:t xml:space="preserve"> </w:t>
            </w:r>
            <w:r w:rsidRPr="00BB3C50">
              <w:rPr>
                <w:rFonts w:ascii="Calibri" w:eastAsia="Times New Roman" w:hAnsi="Calibri" w:cs="Times New Roman"/>
              </w:rPr>
              <w:t xml:space="preserve">IOM wishes to engage a local partner in implementing the housing land and property component of the programme. </w:t>
            </w:r>
          </w:p>
        </w:tc>
      </w:tr>
      <w:tr w:rsidR="00BB3C50" w:rsidRPr="00BB3C50" w14:paraId="444D9D26"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203FA299"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Background</w:t>
            </w:r>
          </w:p>
        </w:tc>
      </w:tr>
      <w:tr w:rsidR="00BB3C50" w:rsidRPr="00BB3C50" w14:paraId="30949F2F" w14:textId="77777777" w:rsidTr="00BB3C50">
        <w:trPr>
          <w:trHeight w:val="1150"/>
          <w:jc w:val="center"/>
        </w:trPr>
        <w:tc>
          <w:tcPr>
            <w:tcW w:w="9015" w:type="dxa"/>
            <w:tcBorders>
              <w:top w:val="single" w:sz="8" w:space="0" w:color="auto"/>
              <w:left w:val="single" w:sz="8" w:space="0" w:color="auto"/>
              <w:bottom w:val="single" w:sz="8" w:space="0" w:color="auto"/>
              <w:right w:val="single" w:sz="8" w:space="0" w:color="auto"/>
            </w:tcBorders>
          </w:tcPr>
          <w:p w14:paraId="7092A546"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The program contribution is designed to support the convergence of IOM’s existing Daryeel stabilization project, which harnesses the important stabilization gains made by IOM Somalia between 2015 and 2020, and the Danwadaag Durable Solutions Consortium. Building on lessons learned from the Somalia Stabilization Initiative (USAID/OTI) and the Stabilization Support in Fragile Areas of Somalia (EU) projects, Daryeel – meaning ‘care’ in Somali – incorporates years of best practice to deliver IOM’s integrated stabilization strategy, which is optimized by a combination of local presence/access, multi-sectoral expertise, and nuanced contextual acumen.  This expertise paired with the extensive expertise from the FCDO funded Danwadaag Durable Solutions Consortium (2018-2022) is leveraged in this innovative community stabilization and durable solutions programming collaboration.</w:t>
            </w:r>
          </w:p>
          <w:p w14:paraId="44DB72E7" w14:textId="77777777" w:rsidR="00BB3C50" w:rsidRPr="00BB3C50" w:rsidRDefault="00BB3C50" w:rsidP="00BB3C50">
            <w:pPr>
              <w:spacing w:after="120" w:line="276" w:lineRule="auto"/>
              <w:jc w:val="both"/>
              <w:rPr>
                <w:rFonts w:ascii="Calibri" w:eastAsia="Times New Roman" w:hAnsi="Calibri" w:cs="Times New Roman"/>
              </w:rPr>
            </w:pP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District is a strategic economic and security hub, connecting multiple regions to the national capital.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Town offers a modicum of stability in the volatile region of Lower Shabelle, and has attracted over 40,000 IDPs, but little stabilization support. Despite its proximity to Mogadishu, the district has also been neglected by most Durable Solutions programs, which tend to focus on densely populated urban </w:t>
            </w:r>
            <w:proofErr w:type="spellStart"/>
            <w:r w:rsidRPr="00BB3C50">
              <w:rPr>
                <w:rFonts w:ascii="Calibri" w:eastAsia="Times New Roman" w:hAnsi="Calibri" w:cs="Times New Roman"/>
              </w:rPr>
              <w:t>centres</w:t>
            </w:r>
            <w:proofErr w:type="spellEnd"/>
            <w:r w:rsidRPr="00BB3C50">
              <w:rPr>
                <w:rFonts w:ascii="Calibri" w:eastAsia="Times New Roman" w:hAnsi="Calibri" w:cs="Times New Roman"/>
              </w:rPr>
              <w:t xml:space="preserve">. However, the combined effects of drought, river flooding, land disputes, </w:t>
            </w:r>
            <w:proofErr w:type="spellStart"/>
            <w:r w:rsidRPr="00BB3C50">
              <w:rPr>
                <w:rFonts w:ascii="Calibri" w:eastAsia="Times New Roman" w:hAnsi="Calibri" w:cs="Times New Roman"/>
              </w:rPr>
              <w:t>agro</w:t>
            </w:r>
            <w:proofErr w:type="spellEnd"/>
            <w:r w:rsidRPr="00BB3C50">
              <w:rPr>
                <w:rFonts w:ascii="Calibri" w:eastAsia="Times New Roman" w:hAnsi="Calibri" w:cs="Times New Roman"/>
              </w:rPr>
              <w:t xml:space="preserve">-pastoral competition, and inter-clan tensions have rendered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highly vulnerable to destabilizing forces, including al-Shabaab influence. This situation demands a more holistic and strategic integration of Stabilization and Durable Solutions interventions, which can target the most critical demographic stressors while leveraging and strengthening informal and formal local institutions.     </w:t>
            </w:r>
          </w:p>
          <w:p w14:paraId="31D3E727"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The proposed intervention concentrates on urban and peri-urban resilience through a lens informed by ongoing stabilization and durable solutions activities in the area, working with local partners on the ground and prioritizing three main outcomes.</w:t>
            </w:r>
          </w:p>
          <w:p w14:paraId="295797D7" w14:textId="77777777" w:rsidR="00BB3C50" w:rsidRPr="00BB3C50" w:rsidRDefault="00BB3C50" w:rsidP="00BB3C50">
            <w:pPr>
              <w:numPr>
                <w:ilvl w:val="0"/>
                <w:numId w:val="3"/>
              </w:numPr>
              <w:spacing w:after="120"/>
              <w:contextualSpacing/>
              <w:jc w:val="both"/>
              <w:rPr>
                <w:rFonts w:ascii="Calibri" w:eastAsia="Times New Roman" w:hAnsi="Calibri" w:cs="Times New Roman"/>
              </w:rPr>
            </w:pPr>
            <w:r w:rsidRPr="00BB3C50">
              <w:rPr>
                <w:rFonts w:ascii="Calibri" w:eastAsia="Times New Roman" w:hAnsi="Calibri" w:cs="Times New Roman"/>
              </w:rPr>
              <w:t xml:space="preserve">Strengthening Social Cohesion and Credible Local Institutions:  </w:t>
            </w:r>
          </w:p>
          <w:p w14:paraId="2068D053" w14:textId="77777777" w:rsidR="00BB3C50" w:rsidRPr="00BB3C50" w:rsidRDefault="00BB3C50" w:rsidP="00BB3C50">
            <w:pPr>
              <w:numPr>
                <w:ilvl w:val="0"/>
                <w:numId w:val="3"/>
              </w:numPr>
              <w:spacing w:after="120"/>
              <w:contextualSpacing/>
              <w:jc w:val="both"/>
              <w:rPr>
                <w:rFonts w:ascii="Calibri" w:eastAsia="Times New Roman" w:hAnsi="Calibri" w:cs="Times New Roman"/>
              </w:rPr>
            </w:pPr>
            <w:r w:rsidRPr="00BB3C50">
              <w:rPr>
                <w:rFonts w:ascii="Calibri" w:eastAsia="Times New Roman" w:hAnsi="Calibri" w:cs="Times New Roman"/>
              </w:rPr>
              <w:t>Strengthening Land Tenure Security for 10,000 IDPs</w:t>
            </w:r>
          </w:p>
          <w:p w14:paraId="700CC2FC" w14:textId="002C2E72" w:rsidR="00BB3C50" w:rsidRPr="00BB3C50" w:rsidRDefault="00BB3C50" w:rsidP="00BB3C50">
            <w:pPr>
              <w:numPr>
                <w:ilvl w:val="0"/>
                <w:numId w:val="3"/>
              </w:numPr>
              <w:spacing w:after="120"/>
              <w:contextualSpacing/>
              <w:jc w:val="both"/>
              <w:rPr>
                <w:rFonts w:ascii="Calibri" w:eastAsia="Times New Roman" w:hAnsi="Calibri" w:cs="Times New Roman"/>
              </w:rPr>
            </w:pPr>
            <w:r w:rsidRPr="00BB3C50">
              <w:rPr>
                <w:rFonts w:ascii="Calibri" w:eastAsia="Times New Roman" w:hAnsi="Calibri" w:cs="Times New Roman"/>
              </w:rPr>
              <w:t xml:space="preserve">Flood Mitigation &amp; Waste Management for </w:t>
            </w:r>
            <w:r w:rsidR="002804DA" w:rsidRPr="002804DA">
              <w:rPr>
                <w:rFonts w:ascii="Calibri" w:eastAsia="Times New Roman" w:hAnsi="Calibri" w:cs="Times New Roman"/>
              </w:rPr>
              <w:t>(</w:t>
            </w:r>
            <w:r w:rsidR="002804DA" w:rsidRPr="002804DA">
              <w:rPr>
                <w:rFonts w:ascii="Calibri" w:eastAsia="Times New Roman" w:hAnsi="Calibri" w:cs="Times New Roman"/>
                <w:color w:val="FF0000"/>
              </w:rPr>
              <w:t xml:space="preserve"> </w:t>
            </w:r>
            <w:r w:rsidR="002804DA" w:rsidRPr="002804DA">
              <w:rPr>
                <w:rFonts w:ascii="Calibri" w:eastAsia="Times New Roman" w:hAnsi="Calibri" w:cs="Times New Roman"/>
              </w:rPr>
              <w:t>6,578 IDPs</w:t>
            </w:r>
            <w:r w:rsidR="00D84890">
              <w:rPr>
                <w:rFonts w:ascii="Calibri" w:eastAsia="Times New Roman" w:hAnsi="Calibri" w:cs="Times New Roman"/>
              </w:rPr>
              <w:t xml:space="preserve">, </w:t>
            </w:r>
            <w:r w:rsidR="002804DA" w:rsidRPr="002804DA">
              <w:rPr>
                <w:rFonts w:ascii="Calibri" w:eastAsia="Times New Roman" w:hAnsi="Calibri" w:cs="Times New Roman"/>
              </w:rPr>
              <w:t>1227 HHS).</w:t>
            </w:r>
          </w:p>
          <w:p w14:paraId="28ED3EF2" w14:textId="222C1848"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The programme interventions will be led by IOM with local partners implementing specific </w:t>
            </w:r>
            <w:r w:rsidRPr="00BB3C50">
              <w:rPr>
                <w:rFonts w:ascii="Calibri" w:eastAsia="Times New Roman" w:hAnsi="Calibri" w:cs="Times New Roman"/>
              </w:rPr>
              <w:lastRenderedPageBreak/>
              <w:t xml:space="preserve">components.  It is envisaged that SHACDO, the existing local partner in Afgooye will play a critical role in the community engagement components. An additional local partner will be engaged to support the Housing, Land and Property components </w:t>
            </w:r>
            <w:r w:rsidR="00B4285B">
              <w:rPr>
                <w:rFonts w:ascii="Calibri" w:eastAsia="Times New Roman" w:hAnsi="Calibri" w:cs="Times New Roman"/>
              </w:rPr>
              <w:t xml:space="preserve">of the project. </w:t>
            </w:r>
          </w:p>
        </w:tc>
      </w:tr>
      <w:tr w:rsidR="00BB3C50" w:rsidRPr="00BB3C50" w14:paraId="62A66114"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50AB9CAC"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lastRenderedPageBreak/>
              <w:t>Objective</w:t>
            </w:r>
          </w:p>
        </w:tc>
      </w:tr>
      <w:tr w:rsidR="00BB3C50" w:rsidRPr="00BB3C50" w14:paraId="0D095964" w14:textId="77777777" w:rsidTr="002E3BAC">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73DD54C1" w14:textId="7A326C8C" w:rsidR="00BB3C50" w:rsidRPr="00BB3C50" w:rsidRDefault="00BB3C50" w:rsidP="00B4285B">
            <w:pPr>
              <w:spacing w:after="120" w:line="276" w:lineRule="auto"/>
              <w:jc w:val="both"/>
              <w:rPr>
                <w:rFonts w:ascii="Calibri" w:eastAsia="Times New Roman" w:hAnsi="Calibri" w:cs="Times New Roman"/>
              </w:rPr>
            </w:pPr>
            <w:r w:rsidRPr="00BB3C50">
              <w:rPr>
                <w:rFonts w:ascii="Calibri" w:eastAsia="Times New Roman" w:hAnsi="Calibri" w:cs="Times New Roman"/>
              </w:rPr>
              <w:t>Enhancing sustainable peaceful durable solutions by strengthening resilience and self-reliance and creating conditions for restoring trust - horizontally, between communities, and vertically, between communities and local leadership.</w:t>
            </w:r>
          </w:p>
        </w:tc>
      </w:tr>
      <w:tr w:rsidR="00BB3C50" w:rsidRPr="00BB3C50" w14:paraId="1B70D6CD"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3AB70CBF"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Proposed interventions</w:t>
            </w:r>
          </w:p>
        </w:tc>
      </w:tr>
      <w:tr w:rsidR="00BB3C50" w:rsidRPr="00BB3C50" w14:paraId="52FC8E33" w14:textId="77777777" w:rsidTr="002E3BAC">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52ED4107" w14:textId="4BE7B91C" w:rsid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IOM is seeking an implementing partner to conduct the below major Activities and thus to be included in the Concept Note and Financial Proposal submitted by the Implementing Partner:</w:t>
            </w:r>
          </w:p>
          <w:p w14:paraId="72E4791D" w14:textId="346F1E5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 xml:space="preserve">Outcome </w:t>
            </w:r>
            <w:r>
              <w:rPr>
                <w:rFonts w:ascii="Calibri" w:eastAsia="Times New Roman" w:hAnsi="Calibri" w:cs="Times New Roman"/>
                <w:b/>
                <w:bCs/>
              </w:rPr>
              <w:t>1</w:t>
            </w:r>
            <w:r w:rsidRPr="00BB3C50">
              <w:rPr>
                <w:rFonts w:ascii="Calibri" w:eastAsia="Times New Roman" w:hAnsi="Calibri" w:cs="Times New Roman"/>
                <w:b/>
                <w:bCs/>
              </w:rPr>
              <w:t>: Displacement affected communities (DACs) in Afgooye have stronger tenure</w:t>
            </w:r>
            <w:r w:rsidR="00CE291E">
              <w:rPr>
                <w:rFonts w:ascii="Calibri" w:eastAsia="Times New Roman" w:hAnsi="Calibri" w:cs="Times New Roman"/>
                <w:b/>
                <w:bCs/>
              </w:rPr>
              <w:t xml:space="preserve"> </w:t>
            </w:r>
            <w:r w:rsidRPr="00BB3C50">
              <w:rPr>
                <w:rFonts w:ascii="Calibri" w:eastAsia="Times New Roman" w:hAnsi="Calibri" w:cs="Times New Roman"/>
                <w:b/>
                <w:bCs/>
              </w:rPr>
              <w:t>security, increased quality of housing and sustainable access to basic services</w:t>
            </w:r>
          </w:p>
          <w:p w14:paraId="420749FE"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Forced evictions are arguably the biggest shock that displaced populations face in urban </w:t>
            </w:r>
            <w:proofErr w:type="spellStart"/>
            <w:r w:rsidRPr="00BB3C50">
              <w:rPr>
                <w:rFonts w:ascii="Calibri" w:eastAsia="Times New Roman" w:hAnsi="Calibri" w:cs="Times New Roman"/>
              </w:rPr>
              <w:t>centres</w:t>
            </w:r>
            <w:proofErr w:type="spellEnd"/>
            <w:r w:rsidRPr="00BB3C50">
              <w:rPr>
                <w:rFonts w:ascii="Calibri" w:eastAsia="Times New Roman" w:hAnsi="Calibri" w:cs="Times New Roman"/>
              </w:rPr>
              <w:t xml:space="preserve">. 42% of IDP settlements in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have no tenure agreements in place and 20% have been classified as high or extreme risk of eviction .  This component will leverage successful interventions under Danwadaag in Baidoa and Kismayo, which include negotiating with landowners to incentivize land tenure documentation. This includes providing access to water and other services to settlements in return for land tenure security of up to 5 years. Complementing this, the program will work closely with the SWS Government and new administration to initiate the development of an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district and town plan to ensure that zoning and infrastructure siting for town expansion happens concurrently to align IDPs settlements with the future expansion plan for </w:t>
            </w:r>
            <w:proofErr w:type="spellStart"/>
            <w:r w:rsidRPr="00BB3C50">
              <w:rPr>
                <w:rFonts w:ascii="Calibri" w:eastAsia="Times New Roman" w:hAnsi="Calibri" w:cs="Times New Roman"/>
              </w:rPr>
              <w:t>Afgoye</w:t>
            </w:r>
            <w:proofErr w:type="spellEnd"/>
            <w:r w:rsidRPr="00BB3C50">
              <w:rPr>
                <w:rFonts w:ascii="Calibri" w:eastAsia="Times New Roman" w:hAnsi="Calibri" w:cs="Times New Roman"/>
              </w:rPr>
              <w:t xml:space="preserve">. </w:t>
            </w:r>
          </w:p>
          <w:p w14:paraId="2CAE63E0" w14:textId="0A843B4C"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 xml:space="preserve">Outcome </w:t>
            </w:r>
            <w:r w:rsidR="00B303E4">
              <w:rPr>
                <w:rFonts w:ascii="Calibri" w:eastAsia="Times New Roman" w:hAnsi="Calibri" w:cs="Times New Roman"/>
                <w:b/>
                <w:bCs/>
              </w:rPr>
              <w:t>1</w:t>
            </w:r>
            <w:r w:rsidRPr="00BB3C50">
              <w:rPr>
                <w:rFonts w:ascii="Calibri" w:eastAsia="Times New Roman" w:hAnsi="Calibri" w:cs="Times New Roman"/>
                <w:b/>
                <w:bCs/>
              </w:rPr>
              <w:t xml:space="preserve">:1 Mapping &amp; understanding land tenure security issues in Afgooye </w:t>
            </w:r>
          </w:p>
          <w:p w14:paraId="393A509B"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Working with the Camp Coordination Camp Management (CCCM) cluster and the selected local partner an assessment of the land tenure status and land ownership of IDP sites as well as a validation of the current mapping of IDPs sites in Afgooye will be conducted with communities and the government.  This assessment will support the prioritization of sites for which negotiations with landowners will targeted. </w:t>
            </w:r>
          </w:p>
          <w:p w14:paraId="0D33280C" w14:textId="6DB29F1E"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 xml:space="preserve">Outcome </w:t>
            </w:r>
            <w:r w:rsidR="00B303E4">
              <w:rPr>
                <w:rFonts w:ascii="Calibri" w:eastAsia="Times New Roman" w:hAnsi="Calibri" w:cs="Times New Roman"/>
                <w:b/>
                <w:bCs/>
              </w:rPr>
              <w:t>1</w:t>
            </w:r>
            <w:r w:rsidRPr="00BB3C50">
              <w:rPr>
                <w:rFonts w:ascii="Calibri" w:eastAsia="Times New Roman" w:hAnsi="Calibri" w:cs="Times New Roman"/>
                <w:b/>
                <w:bCs/>
              </w:rPr>
              <w:t xml:space="preserve">:2 Support government &amp; local authority town planning processes to integrate displacement affected communities. </w:t>
            </w:r>
          </w:p>
          <w:p w14:paraId="7E9410C0"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This intervention will build on existing partnerships across development and humanitarian actors and strengthen the engagement with national and local actors responsible for development plans and urban policy as well as displaced and host communities. While addressing the challenge of IDP sites in Afgooye within the long-term town planning and development processes, the developed approaches will be documented providing guidance for similar fragile towns to strengthen urban resilience to the impact of displacement.  This will include recommendation on absorption capacity, approaches for land allocation, zoning, and service provision. It should also enhance the interoperability and integration across different data sources – such as satellite imagery, national </w:t>
            </w:r>
            <w:r w:rsidRPr="00BB3C50">
              <w:rPr>
                <w:rFonts w:ascii="Calibri" w:eastAsia="Times New Roman" w:hAnsi="Calibri" w:cs="Times New Roman"/>
              </w:rPr>
              <w:lastRenderedPageBreak/>
              <w:t>statistical data and data collected with affected communities.</w:t>
            </w:r>
          </w:p>
          <w:p w14:paraId="11537F07" w14:textId="286C6DDA"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 xml:space="preserve">Outcome </w:t>
            </w:r>
            <w:r w:rsidR="00B303E4">
              <w:rPr>
                <w:rFonts w:ascii="Calibri" w:eastAsia="Times New Roman" w:hAnsi="Calibri" w:cs="Times New Roman"/>
                <w:b/>
                <w:bCs/>
              </w:rPr>
              <w:t>1</w:t>
            </w:r>
            <w:r w:rsidRPr="00BB3C50">
              <w:rPr>
                <w:rFonts w:ascii="Calibri" w:eastAsia="Times New Roman" w:hAnsi="Calibri" w:cs="Times New Roman"/>
                <w:b/>
                <w:bCs/>
              </w:rPr>
              <w:t xml:space="preserve">.3 Leveraging infrastructure investments for greater land tenure security </w:t>
            </w:r>
          </w:p>
          <w:p w14:paraId="4B3CEAF6"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Danwadaag is investing in medium-term solutions to strengthen resilience and address the issue of evictions in Kismayo by successfully negotiating for longer rent-free leases for IDPs in. In these instances, investments in infrastructure, such as solar light or shallow well rehabilitation, were leveraged to negotiate for more extended tenure security arrangements. </w:t>
            </w:r>
          </w:p>
          <w:p w14:paraId="7B0EBAC7"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This approach will be leveraged to the project location in Afgooye. Through secure land tenure agreements, the risks of forced eviction will be mitigated and IDPs will additionally benefit from greater access to services through the negotiated agreements. This intervention, complemented by the addressing of CAP priorities above, will ensure that a foundation is built for durable solutions process.  </w:t>
            </w:r>
          </w:p>
          <w:p w14:paraId="7F205535"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The investment in these informal settlements would contribute to increasing the value of the land by providing physical infrastructure inputs and upgrades to the IDP sites. Landowners would therefore be more inclined to provide unutilized land for IDPs at no cost. The expansion and the demand for urban businesses and residential construction sites further increases the value of the IDP leasehold land. The replication of this approach to this location will provide the opportunity to build template agreements and tool kits that can be used for further scale up.</w:t>
            </w:r>
          </w:p>
          <w:p w14:paraId="1671C845" w14:textId="77777777" w:rsidR="00BB3C50" w:rsidRPr="00BB3C50" w:rsidRDefault="00BB3C50" w:rsidP="00BB3C50">
            <w:pPr>
              <w:spacing w:after="120" w:line="276" w:lineRule="auto"/>
              <w:rPr>
                <w:rFonts w:ascii="Calibri" w:eastAsia="Times New Roman" w:hAnsi="Calibri" w:cs="Times New Roman"/>
              </w:rPr>
            </w:pPr>
            <w:r w:rsidRPr="00BB3C50">
              <w:rPr>
                <w:rFonts w:ascii="Calibri" w:eastAsia="Times New Roman" w:hAnsi="Calibri" w:cs="Times New Roman"/>
              </w:rPr>
              <w:t xml:space="preserve">Opportunity for collaboration / coordination with EAJ: </w:t>
            </w:r>
          </w:p>
          <w:p w14:paraId="261CB5D7" w14:textId="77777777" w:rsidR="00BB3C50" w:rsidRPr="00BB3C50" w:rsidRDefault="00BB3C50" w:rsidP="00BB3C50">
            <w:pPr>
              <w:numPr>
                <w:ilvl w:val="0"/>
                <w:numId w:val="1"/>
              </w:numPr>
              <w:spacing w:after="120"/>
              <w:contextualSpacing/>
              <w:rPr>
                <w:rFonts w:ascii="Calibri" w:eastAsia="Times New Roman" w:hAnsi="Calibri" w:cs="Times New Roman"/>
              </w:rPr>
            </w:pPr>
            <w:r w:rsidRPr="00BB3C50">
              <w:rPr>
                <w:rFonts w:ascii="Calibri" w:eastAsia="Times New Roman" w:hAnsi="Calibri" w:cs="Times New Roman"/>
              </w:rPr>
              <w:t xml:space="preserve">Strengthen legal aid and support to IDPs and returnees in close collaboration with local government to help them exercise their HLP rights.  </w:t>
            </w:r>
          </w:p>
          <w:p w14:paraId="42AFB3D0" w14:textId="26393557" w:rsidR="00CE291E" w:rsidRDefault="00BB3C50" w:rsidP="00CE291E">
            <w:pPr>
              <w:numPr>
                <w:ilvl w:val="0"/>
                <w:numId w:val="1"/>
              </w:numPr>
              <w:spacing w:after="120"/>
              <w:contextualSpacing/>
              <w:rPr>
                <w:rFonts w:ascii="Calibri" w:eastAsia="Times New Roman" w:hAnsi="Calibri" w:cs="Times New Roman"/>
              </w:rPr>
            </w:pPr>
            <w:r w:rsidRPr="00BB3C50">
              <w:rPr>
                <w:rFonts w:ascii="Calibri" w:eastAsia="Times New Roman" w:hAnsi="Calibri" w:cs="Times New Roman"/>
              </w:rPr>
              <w:t>Strengthen context-specific compensation or dispute resolution mechanisms, including alternative dispute resolution mechanisms such as mediation and access to documentation.</w:t>
            </w:r>
          </w:p>
          <w:p w14:paraId="7BC01455" w14:textId="77777777" w:rsidR="00CE291E" w:rsidRPr="00CE291E" w:rsidRDefault="00CE291E" w:rsidP="00CE291E">
            <w:pPr>
              <w:spacing w:after="120"/>
              <w:ind w:left="720"/>
              <w:contextualSpacing/>
              <w:rPr>
                <w:rFonts w:ascii="Calibri" w:eastAsia="Times New Roman" w:hAnsi="Calibri" w:cs="Times New Roman"/>
              </w:rPr>
            </w:pPr>
          </w:p>
          <w:p w14:paraId="29F600C1" w14:textId="53FAC282" w:rsidR="00CE291E" w:rsidRPr="00CE291E" w:rsidRDefault="00CE291E" w:rsidP="00CE291E">
            <w:pPr>
              <w:spacing w:after="120"/>
              <w:contextualSpacing/>
              <w:rPr>
                <w:rFonts w:ascii="Calibri" w:eastAsia="Times New Roman" w:hAnsi="Calibri" w:cs="Times New Roman"/>
                <w:b/>
                <w:bCs/>
              </w:rPr>
            </w:pPr>
            <w:r w:rsidRPr="00CE291E">
              <w:rPr>
                <w:rFonts w:ascii="Calibri" w:eastAsia="Times New Roman" w:hAnsi="Calibri" w:cs="Times New Roman"/>
                <w:b/>
                <w:bCs/>
              </w:rPr>
              <w:t xml:space="preserve">Overall Activities: </w:t>
            </w:r>
          </w:p>
          <w:p w14:paraId="5D87A44F" w14:textId="77777777" w:rsidR="00CE291E" w:rsidRPr="00CE291E" w:rsidRDefault="00CE291E" w:rsidP="00CE291E">
            <w:pPr>
              <w:pStyle w:val="ListParagraph"/>
              <w:numPr>
                <w:ilvl w:val="0"/>
                <w:numId w:val="5"/>
              </w:numPr>
              <w:spacing w:after="120"/>
              <w:rPr>
                <w:rFonts w:ascii="Calibri" w:eastAsia="Times New Roman" w:hAnsi="Calibri" w:cs="Times New Roman"/>
              </w:rPr>
            </w:pPr>
            <w:r w:rsidRPr="00CE291E">
              <w:rPr>
                <w:rFonts w:ascii="Calibri" w:eastAsia="Times New Roman" w:hAnsi="Calibri" w:cs="Times New Roman"/>
              </w:rPr>
              <w:t xml:space="preserve">Activity 1.1 Assessment land tenure and IDP sites </w:t>
            </w:r>
          </w:p>
          <w:p w14:paraId="37B74D61" w14:textId="77777777" w:rsidR="00CE291E" w:rsidRPr="00CE291E" w:rsidRDefault="00CE291E" w:rsidP="00CE291E">
            <w:pPr>
              <w:pStyle w:val="ListParagraph"/>
              <w:numPr>
                <w:ilvl w:val="0"/>
                <w:numId w:val="5"/>
              </w:numPr>
              <w:spacing w:after="120"/>
              <w:rPr>
                <w:rFonts w:ascii="Calibri" w:eastAsia="Times New Roman" w:hAnsi="Calibri" w:cs="Times New Roman"/>
              </w:rPr>
            </w:pPr>
            <w:r w:rsidRPr="00CE291E">
              <w:rPr>
                <w:rFonts w:ascii="Calibri" w:eastAsia="Times New Roman" w:hAnsi="Calibri" w:cs="Times New Roman"/>
              </w:rPr>
              <w:t xml:space="preserve">Activity 1.2. Urban planning process updated with displacement affected community </w:t>
            </w:r>
          </w:p>
          <w:p w14:paraId="0E20648C" w14:textId="77777777" w:rsidR="00CE291E" w:rsidRPr="00CE291E" w:rsidRDefault="00CE291E" w:rsidP="00CE291E">
            <w:pPr>
              <w:pStyle w:val="ListParagraph"/>
              <w:numPr>
                <w:ilvl w:val="0"/>
                <w:numId w:val="5"/>
              </w:numPr>
              <w:spacing w:after="120"/>
              <w:rPr>
                <w:rFonts w:ascii="Calibri" w:eastAsia="Times New Roman" w:hAnsi="Calibri" w:cs="Times New Roman"/>
              </w:rPr>
            </w:pPr>
            <w:r w:rsidRPr="00CE291E">
              <w:rPr>
                <w:rFonts w:ascii="Calibri" w:eastAsia="Times New Roman" w:hAnsi="Calibri" w:cs="Times New Roman"/>
              </w:rPr>
              <w:t xml:space="preserve">Activity 1.3 Negotiations with landowners for longer land tenure documents </w:t>
            </w:r>
          </w:p>
          <w:p w14:paraId="3678CA7A" w14:textId="0BBE0E54" w:rsidR="00CE291E" w:rsidRPr="00CE291E" w:rsidRDefault="00CE291E" w:rsidP="00CE291E">
            <w:pPr>
              <w:pStyle w:val="ListParagraph"/>
              <w:numPr>
                <w:ilvl w:val="0"/>
                <w:numId w:val="5"/>
              </w:numPr>
              <w:spacing w:after="120"/>
              <w:rPr>
                <w:rFonts w:ascii="Calibri" w:eastAsia="Times New Roman" w:hAnsi="Calibri" w:cs="Times New Roman"/>
              </w:rPr>
            </w:pPr>
            <w:r w:rsidRPr="00CE291E">
              <w:rPr>
                <w:rFonts w:ascii="Calibri" w:eastAsia="Times New Roman" w:hAnsi="Calibri" w:cs="Times New Roman"/>
              </w:rPr>
              <w:t>Activity 1.4 Implementation of agreed small scale infrastructure</w:t>
            </w:r>
          </w:p>
        </w:tc>
      </w:tr>
      <w:tr w:rsidR="00BB3C50" w:rsidRPr="00BB3C50" w14:paraId="0C1D036B"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3DE8193D"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lastRenderedPageBreak/>
              <w:t>Overarching Outcomes:</w:t>
            </w:r>
          </w:p>
        </w:tc>
      </w:tr>
      <w:tr w:rsidR="00BB3C50" w:rsidRPr="00BB3C50" w14:paraId="63796E9D" w14:textId="77777777" w:rsidTr="002E3BAC">
        <w:trPr>
          <w:trHeight w:val="555"/>
          <w:jc w:val="center"/>
        </w:trPr>
        <w:tc>
          <w:tcPr>
            <w:tcW w:w="9015" w:type="dxa"/>
            <w:tcBorders>
              <w:top w:val="single" w:sz="8" w:space="0" w:color="auto"/>
              <w:left w:val="single" w:sz="8" w:space="0" w:color="auto"/>
              <w:bottom w:val="single" w:sz="8" w:space="0" w:color="auto"/>
              <w:right w:val="single" w:sz="8" w:space="0" w:color="auto"/>
            </w:tcBorders>
          </w:tcPr>
          <w:p w14:paraId="2CA88FDB" w14:textId="77777777" w:rsidR="00BB3C50" w:rsidRDefault="00BB3C50" w:rsidP="00B4285B">
            <w:pPr>
              <w:spacing w:after="120" w:line="276" w:lineRule="auto"/>
              <w:jc w:val="both"/>
              <w:rPr>
                <w:rFonts w:ascii="Calibri" w:eastAsia="Calibri" w:hAnsi="Calibri" w:cs="Times New Roman"/>
              </w:rPr>
            </w:pPr>
            <w:r w:rsidRPr="00BB3C50">
              <w:rPr>
                <w:rFonts w:ascii="Calibri" w:eastAsia="Times New Roman" w:hAnsi="Calibri" w:cs="Times New Roman"/>
              </w:rPr>
              <w:t>Strengthening Land Tenure Security for 10,000 IDPs. The overall goal of the programme is to stabilize the target communities and progress them towards durable solutions, integration and increased resilience and self-reliance.</w:t>
            </w:r>
            <w:r w:rsidRPr="00BB3C50">
              <w:rPr>
                <w:rFonts w:ascii="Calibri" w:eastAsia="Calibri" w:hAnsi="Calibri" w:cs="Times New Roman"/>
              </w:rPr>
              <w:t xml:space="preserve"> </w:t>
            </w:r>
          </w:p>
          <w:p w14:paraId="5018D392" w14:textId="7EA83588" w:rsidR="00B4285B" w:rsidRPr="00BB3C50" w:rsidRDefault="00B4285B" w:rsidP="00B4285B">
            <w:pPr>
              <w:spacing w:after="120" w:line="276" w:lineRule="auto"/>
              <w:jc w:val="both"/>
              <w:rPr>
                <w:rFonts w:ascii="Calibri" w:eastAsia="Calibri" w:hAnsi="Calibri" w:cs="Times New Roman"/>
                <w:lang w:val="en-GB"/>
              </w:rPr>
            </w:pPr>
            <w:r w:rsidRPr="00B4285B">
              <w:rPr>
                <w:rFonts w:ascii="Calibri" w:eastAsia="Calibri" w:hAnsi="Calibri" w:cs="Times New Roman"/>
                <w:b/>
                <w:bCs/>
                <w:lang w:val="en-GB"/>
              </w:rPr>
              <w:t xml:space="preserve">Overall Theory of Change: If </w:t>
            </w:r>
            <w:r w:rsidRPr="00B4285B">
              <w:rPr>
                <w:rFonts w:ascii="Calibri" w:eastAsia="Calibri" w:hAnsi="Calibri" w:cs="Times New Roman"/>
                <w:lang w:val="en-GB"/>
              </w:rPr>
              <w:t xml:space="preserve">communities in areas impacted by displacement, conflict, and violent extremism, are supported to co-exist peacefully and co-create specific displacement solutions </w:t>
            </w:r>
            <w:r w:rsidRPr="00B4285B">
              <w:rPr>
                <w:rFonts w:ascii="Calibri" w:eastAsia="Calibri" w:hAnsi="Calibri" w:cs="Times New Roman"/>
                <w:b/>
                <w:bCs/>
                <w:lang w:val="en-GB"/>
              </w:rPr>
              <w:t xml:space="preserve">then </w:t>
            </w:r>
            <w:r w:rsidRPr="00B4285B">
              <w:rPr>
                <w:rFonts w:ascii="Calibri" w:eastAsia="Calibri" w:hAnsi="Calibri" w:cs="Times New Roman"/>
                <w:lang w:val="en-GB"/>
              </w:rPr>
              <w:t xml:space="preserve">essential foundations for long-term transition, recovery and durable solutions will be established </w:t>
            </w:r>
            <w:r w:rsidRPr="00B4285B">
              <w:rPr>
                <w:rFonts w:ascii="Calibri" w:eastAsia="Calibri" w:hAnsi="Calibri" w:cs="Times New Roman"/>
                <w:b/>
                <w:bCs/>
                <w:lang w:val="en-GB"/>
              </w:rPr>
              <w:t>because displacement-specific vulnerabilities will be addressed and</w:t>
            </w:r>
            <w:r w:rsidRPr="00B4285B">
              <w:rPr>
                <w:rFonts w:ascii="Calibri" w:eastAsia="Calibri" w:hAnsi="Calibri" w:cs="Times New Roman"/>
                <w:lang w:val="en-GB"/>
              </w:rPr>
              <w:t xml:space="preserve"> residual/emergent drivers of instability, conflict, and extremism will not be able to re-establish themselves.</w:t>
            </w:r>
          </w:p>
        </w:tc>
      </w:tr>
      <w:tr w:rsidR="00BB3C50" w:rsidRPr="00BB3C50" w14:paraId="3406D4F3"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4495706D"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lastRenderedPageBreak/>
              <w:t>Expected results</w:t>
            </w:r>
          </w:p>
        </w:tc>
      </w:tr>
      <w:tr w:rsidR="00BB3C50" w:rsidRPr="00BB3C50" w14:paraId="5BE0C48F" w14:textId="77777777" w:rsidTr="002E3BAC">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05242F78" w14:textId="161A908E" w:rsidR="00BB3C50" w:rsidRPr="00BB3C50" w:rsidRDefault="00BB3C50" w:rsidP="00BB3C50">
            <w:pPr>
              <w:spacing w:after="120" w:line="276" w:lineRule="auto"/>
              <w:rPr>
                <w:rFonts w:ascii="Calibri" w:eastAsia="Times New Roman" w:hAnsi="Calibri" w:cs="Times New Roman"/>
              </w:rPr>
            </w:pPr>
            <w:r w:rsidRPr="00BB3C50">
              <w:rPr>
                <w:rFonts w:ascii="Calibri" w:eastAsia="Times New Roman" w:hAnsi="Calibri" w:cs="Times New Roman"/>
              </w:rPr>
              <w:t xml:space="preserve">Improved Housing, land and property rights for displacement affected communities in Afgooye. </w:t>
            </w:r>
          </w:p>
          <w:p w14:paraId="583DC31E" w14:textId="77777777" w:rsidR="00BB3C50" w:rsidRPr="00BB3C50" w:rsidRDefault="00BB3C50" w:rsidP="00BB3C50">
            <w:pPr>
              <w:spacing w:after="120"/>
              <w:rPr>
                <w:rFonts w:ascii="Calibri" w:eastAsia="Times New Roman" w:hAnsi="Calibri" w:cs="Times New Roman"/>
              </w:rPr>
            </w:pPr>
            <w:r w:rsidRPr="00BB3C50">
              <w:rPr>
                <w:rFonts w:ascii="Calibri" w:eastAsia="Times New Roman" w:hAnsi="Calibri" w:cs="Times New Roman"/>
              </w:rPr>
              <w:t xml:space="preserve">The Implementing Partner will be required to submit: </w:t>
            </w:r>
          </w:p>
          <w:p w14:paraId="4A0278CA" w14:textId="3BD3A987" w:rsidR="00B4285B" w:rsidRPr="001F0F1C" w:rsidRDefault="00BB3C50" w:rsidP="001F0F1C">
            <w:pPr>
              <w:numPr>
                <w:ilvl w:val="0"/>
                <w:numId w:val="4"/>
              </w:numPr>
              <w:spacing w:after="120"/>
              <w:jc w:val="both"/>
              <w:rPr>
                <w:rFonts w:ascii="Calibri" w:eastAsia="Times New Roman" w:hAnsi="Calibri" w:cs="Times New Roman"/>
              </w:rPr>
            </w:pPr>
            <w:r w:rsidRPr="00BB3C50">
              <w:rPr>
                <w:rFonts w:ascii="Calibri" w:eastAsia="Times New Roman" w:hAnsi="Calibri" w:cs="Times New Roman"/>
              </w:rPr>
              <w:t xml:space="preserve">During the inception phase, a detailed implementation and work plan that includes weekly progress reporting, monthly summary of activities and progress reports, and a final report, the contents of which will be decided with IOM staff. </w:t>
            </w:r>
          </w:p>
        </w:tc>
      </w:tr>
      <w:tr w:rsidR="00BB3C50" w:rsidRPr="00BB3C50" w14:paraId="5E061E2A" w14:textId="77777777" w:rsidTr="002E3BAC">
        <w:trPr>
          <w:trHeight w:val="15"/>
          <w:jc w:val="center"/>
        </w:trPr>
        <w:tc>
          <w:tcPr>
            <w:tcW w:w="9015" w:type="dxa"/>
            <w:tcBorders>
              <w:top w:val="single" w:sz="8" w:space="0" w:color="auto"/>
              <w:left w:val="single" w:sz="8" w:space="0" w:color="auto"/>
              <w:bottom w:val="single" w:sz="8" w:space="0" w:color="auto"/>
              <w:right w:val="single" w:sz="8" w:space="0" w:color="auto"/>
            </w:tcBorders>
          </w:tcPr>
          <w:p w14:paraId="58E1805C"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Impact</w:t>
            </w:r>
          </w:p>
        </w:tc>
      </w:tr>
      <w:tr w:rsidR="00BB3C50" w:rsidRPr="00BB3C50" w14:paraId="03F792EB" w14:textId="77777777" w:rsidTr="002E3BAC">
        <w:trPr>
          <w:trHeight w:val="570"/>
          <w:jc w:val="center"/>
        </w:trPr>
        <w:tc>
          <w:tcPr>
            <w:tcW w:w="9015" w:type="dxa"/>
            <w:tcBorders>
              <w:top w:val="single" w:sz="8" w:space="0" w:color="auto"/>
              <w:left w:val="single" w:sz="8" w:space="0" w:color="auto"/>
              <w:bottom w:val="single" w:sz="8" w:space="0" w:color="auto"/>
              <w:right w:val="single" w:sz="8" w:space="0" w:color="auto"/>
            </w:tcBorders>
          </w:tcPr>
          <w:p w14:paraId="2BC01BCF" w14:textId="08853BF5" w:rsidR="00BB3C50" w:rsidRPr="00BB3C50" w:rsidRDefault="00E13A29" w:rsidP="00BB3C50">
            <w:pPr>
              <w:spacing w:after="120" w:line="276" w:lineRule="auto"/>
              <w:jc w:val="both"/>
              <w:rPr>
                <w:rFonts w:ascii="Calibri" w:eastAsia="Times New Roman" w:hAnsi="Calibri" w:cs="Times New Roman"/>
              </w:rPr>
            </w:pPr>
            <w:r w:rsidRPr="00E13A29">
              <w:rPr>
                <w:rFonts w:ascii="Calibri" w:eastAsia="Times New Roman" w:hAnsi="Calibri" w:cs="Times New Roman"/>
              </w:rPr>
              <w:t>Framework</w:t>
            </w:r>
          </w:p>
        </w:tc>
      </w:tr>
      <w:tr w:rsidR="00BB3C50" w:rsidRPr="00BB3C50" w14:paraId="6AADD84E"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4BCBF61F"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Partnerships and collaboration</w:t>
            </w:r>
          </w:p>
        </w:tc>
      </w:tr>
      <w:tr w:rsidR="00BB3C50" w:rsidRPr="00BB3C50" w14:paraId="5B5EDF49" w14:textId="77777777" w:rsidTr="002E3BAC">
        <w:trPr>
          <w:trHeight w:val="375"/>
          <w:jc w:val="center"/>
        </w:trPr>
        <w:tc>
          <w:tcPr>
            <w:tcW w:w="9015" w:type="dxa"/>
            <w:tcBorders>
              <w:top w:val="single" w:sz="8" w:space="0" w:color="auto"/>
              <w:left w:val="single" w:sz="8" w:space="0" w:color="auto"/>
              <w:bottom w:val="single" w:sz="8" w:space="0" w:color="auto"/>
              <w:right w:val="single" w:sz="8" w:space="0" w:color="auto"/>
            </w:tcBorders>
          </w:tcPr>
          <w:p w14:paraId="2A500865" w14:textId="77777777" w:rsidR="00BB3C50" w:rsidRPr="00BB3C50" w:rsidRDefault="00BB3C50" w:rsidP="00E13A29">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The programme interventions will be led by IOM with local partners implementing specific components.  It is envisaged that SHACDO, the existing local partner in Afgooye will play a critical role in the community engagement components. An additional local partner will be engaged to support the Housing, Land and Property components under Outcome 2 on strengthening housing, </w:t>
            </w:r>
            <w:proofErr w:type="gramStart"/>
            <w:r w:rsidRPr="00BB3C50">
              <w:rPr>
                <w:rFonts w:ascii="Calibri" w:eastAsia="Times New Roman" w:hAnsi="Calibri" w:cs="Times New Roman"/>
              </w:rPr>
              <w:t>land</w:t>
            </w:r>
            <w:proofErr w:type="gramEnd"/>
            <w:r w:rsidRPr="00BB3C50">
              <w:rPr>
                <w:rFonts w:ascii="Calibri" w:eastAsia="Times New Roman" w:hAnsi="Calibri" w:cs="Times New Roman"/>
              </w:rPr>
              <w:t xml:space="preserve"> and property. </w:t>
            </w:r>
          </w:p>
        </w:tc>
      </w:tr>
      <w:tr w:rsidR="00BB3C50" w:rsidRPr="00BB3C50" w14:paraId="24456F50"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61A8D021"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 xml:space="preserve">Proposed timeline: </w:t>
            </w:r>
          </w:p>
        </w:tc>
      </w:tr>
      <w:tr w:rsidR="00BB3C50" w:rsidRPr="00BB3C50" w14:paraId="2BC4B5E7" w14:textId="77777777" w:rsidTr="002E3BAC">
        <w:trPr>
          <w:trHeight w:val="450"/>
          <w:jc w:val="center"/>
        </w:trPr>
        <w:tc>
          <w:tcPr>
            <w:tcW w:w="9015" w:type="dxa"/>
            <w:tcBorders>
              <w:top w:val="single" w:sz="8" w:space="0" w:color="auto"/>
              <w:left w:val="single" w:sz="8" w:space="0" w:color="auto"/>
              <w:bottom w:val="single" w:sz="8" w:space="0" w:color="auto"/>
              <w:right w:val="single" w:sz="8" w:space="0" w:color="auto"/>
            </w:tcBorders>
          </w:tcPr>
          <w:p w14:paraId="16CC0411" w14:textId="7A81CCB9" w:rsidR="00BB3C50" w:rsidRPr="00BB3C50" w:rsidRDefault="00BB3C50" w:rsidP="00BB3C50">
            <w:pPr>
              <w:spacing w:after="120" w:line="276" w:lineRule="auto"/>
              <w:rPr>
                <w:rFonts w:ascii="Calibri" w:eastAsia="Times New Roman" w:hAnsi="Calibri" w:cs="Times New Roman"/>
              </w:rPr>
            </w:pPr>
            <w:r w:rsidRPr="00BB3C50">
              <w:rPr>
                <w:rFonts w:ascii="Calibri" w:eastAsia="Times New Roman" w:hAnsi="Calibri" w:cs="Times New Roman"/>
              </w:rPr>
              <w:t xml:space="preserve"> </w:t>
            </w:r>
            <w:r w:rsidR="00E13A29">
              <w:rPr>
                <w:rFonts w:ascii="Calibri" w:eastAsia="Times New Roman" w:hAnsi="Calibri" w:cs="Times New Roman"/>
              </w:rPr>
              <w:t xml:space="preserve">May </w:t>
            </w:r>
            <w:r w:rsidRPr="00BB3C50">
              <w:rPr>
                <w:rFonts w:ascii="Calibri" w:eastAsia="Times New Roman" w:hAnsi="Calibri" w:cs="Times New Roman"/>
              </w:rPr>
              <w:t xml:space="preserve">2022 – </w:t>
            </w:r>
            <w:r w:rsidR="00E13A29">
              <w:rPr>
                <w:rFonts w:ascii="Calibri" w:eastAsia="Times New Roman" w:hAnsi="Calibri" w:cs="Times New Roman"/>
              </w:rPr>
              <w:t>Ma</w:t>
            </w:r>
            <w:r w:rsidR="007921C1">
              <w:rPr>
                <w:rFonts w:ascii="Calibri" w:eastAsia="Times New Roman" w:hAnsi="Calibri" w:cs="Times New Roman"/>
              </w:rPr>
              <w:t>rch</w:t>
            </w:r>
            <w:r w:rsidR="00D44987">
              <w:rPr>
                <w:rFonts w:ascii="Calibri" w:eastAsia="Times New Roman" w:hAnsi="Calibri" w:cs="Times New Roman"/>
              </w:rPr>
              <w:t xml:space="preserve"> </w:t>
            </w:r>
            <w:r w:rsidRPr="00BB3C50">
              <w:rPr>
                <w:rFonts w:ascii="Calibri" w:eastAsia="Times New Roman" w:hAnsi="Calibri" w:cs="Times New Roman"/>
              </w:rPr>
              <w:t>2023</w:t>
            </w:r>
          </w:p>
        </w:tc>
      </w:tr>
      <w:tr w:rsidR="00BB3C50" w:rsidRPr="00BB3C50" w14:paraId="24C14EB8"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34831B76" w14:textId="77777777" w:rsidR="00BB3C50" w:rsidRPr="00BB3C50" w:rsidRDefault="00BB3C50" w:rsidP="00BB3C50">
            <w:pPr>
              <w:spacing w:after="120" w:line="276" w:lineRule="auto"/>
              <w:rPr>
                <w:rFonts w:ascii="Calibri" w:eastAsia="Times New Roman" w:hAnsi="Calibri" w:cs="Times New Roman"/>
                <w:b/>
                <w:bCs/>
              </w:rPr>
            </w:pPr>
            <w:r w:rsidRPr="00BB3C50">
              <w:rPr>
                <w:rFonts w:ascii="Calibri" w:eastAsia="Times New Roman" w:hAnsi="Calibri" w:cs="Times New Roman"/>
                <w:b/>
                <w:bCs/>
              </w:rPr>
              <w:t>Qualification and experience</w:t>
            </w:r>
          </w:p>
        </w:tc>
      </w:tr>
      <w:tr w:rsidR="00BB3C50" w:rsidRPr="00BB3C50" w14:paraId="75469662" w14:textId="77777777" w:rsidTr="002E3BAC">
        <w:trPr>
          <w:trHeight w:val="600"/>
          <w:jc w:val="center"/>
        </w:trPr>
        <w:tc>
          <w:tcPr>
            <w:tcW w:w="9015" w:type="dxa"/>
            <w:tcBorders>
              <w:top w:val="single" w:sz="8" w:space="0" w:color="auto"/>
              <w:left w:val="single" w:sz="8" w:space="0" w:color="auto"/>
              <w:bottom w:val="single" w:sz="8" w:space="0" w:color="auto"/>
              <w:right w:val="single" w:sz="8" w:space="0" w:color="auto"/>
            </w:tcBorders>
          </w:tcPr>
          <w:p w14:paraId="26F59BF2" w14:textId="77777777" w:rsidR="00BB3C50" w:rsidRPr="00BB3C50" w:rsidRDefault="00BB3C50" w:rsidP="00BB3C50">
            <w:pPr>
              <w:numPr>
                <w:ilvl w:val="0"/>
                <w:numId w:val="2"/>
              </w:numPr>
              <w:tabs>
                <w:tab w:val="left" w:pos="820"/>
              </w:tabs>
              <w:spacing w:after="120"/>
              <w:contextualSpacing/>
              <w:rPr>
                <w:rFonts w:ascii="Calibri" w:eastAsia="Times New Roman" w:hAnsi="Calibri" w:cs="Times New Roman"/>
              </w:rPr>
            </w:pPr>
            <w:r w:rsidRPr="00BB3C50">
              <w:rPr>
                <w:rFonts w:ascii="Calibri" w:eastAsia="Times New Roman" w:hAnsi="Calibri" w:cs="Times New Roman"/>
              </w:rPr>
              <w:t>10 years’ experience in implementing Housing land and property components.</w:t>
            </w:r>
          </w:p>
          <w:p w14:paraId="376C681C" w14:textId="77777777" w:rsidR="00BB3C50" w:rsidRPr="00BB3C50" w:rsidRDefault="00BB3C50" w:rsidP="00BB3C50">
            <w:pPr>
              <w:numPr>
                <w:ilvl w:val="0"/>
                <w:numId w:val="2"/>
              </w:numPr>
              <w:tabs>
                <w:tab w:val="left" w:pos="820"/>
              </w:tabs>
              <w:spacing w:after="120"/>
              <w:contextualSpacing/>
              <w:rPr>
                <w:rFonts w:ascii="Calibri" w:eastAsia="Times New Roman" w:hAnsi="Calibri" w:cs="Times New Roman"/>
              </w:rPr>
            </w:pPr>
            <w:r w:rsidRPr="00BB3C50">
              <w:rPr>
                <w:rFonts w:ascii="Calibri" w:eastAsia="Times New Roman" w:hAnsi="Calibri" w:cs="Times New Roman"/>
              </w:rPr>
              <w:t>Experience in partnering with key institutions related to Housing land and property</w:t>
            </w:r>
          </w:p>
          <w:p w14:paraId="54E2C1CD" w14:textId="77777777" w:rsidR="00BB3C50" w:rsidRPr="00BB3C50" w:rsidRDefault="00BB3C50" w:rsidP="00BB3C50">
            <w:pPr>
              <w:numPr>
                <w:ilvl w:val="0"/>
                <w:numId w:val="2"/>
              </w:numPr>
              <w:tabs>
                <w:tab w:val="left" w:pos="820"/>
              </w:tabs>
              <w:spacing w:after="120"/>
              <w:contextualSpacing/>
              <w:rPr>
                <w:rFonts w:ascii="Calibri" w:eastAsia="Times New Roman" w:hAnsi="Calibri" w:cs="Times New Roman"/>
              </w:rPr>
            </w:pPr>
            <w:r w:rsidRPr="00BB3C50">
              <w:rPr>
                <w:rFonts w:ascii="Calibri" w:eastAsia="Times New Roman" w:hAnsi="Calibri" w:cs="Times New Roman"/>
              </w:rPr>
              <w:t>Local experience, presence, and community relations in Afgooye</w:t>
            </w:r>
          </w:p>
          <w:p w14:paraId="1A31C831" w14:textId="77777777" w:rsidR="00BB3C50" w:rsidRPr="00BB3C50" w:rsidRDefault="00BB3C50" w:rsidP="00BB3C50">
            <w:pPr>
              <w:numPr>
                <w:ilvl w:val="0"/>
                <w:numId w:val="2"/>
              </w:numPr>
              <w:tabs>
                <w:tab w:val="left" w:pos="820"/>
              </w:tabs>
              <w:spacing w:after="120"/>
              <w:contextualSpacing/>
              <w:rPr>
                <w:rFonts w:ascii="Calibri" w:eastAsia="Times New Roman" w:hAnsi="Calibri" w:cs="Times New Roman"/>
              </w:rPr>
            </w:pPr>
            <w:r w:rsidRPr="00BB3C50">
              <w:rPr>
                <w:rFonts w:ascii="Calibri" w:eastAsia="Times New Roman" w:hAnsi="Calibri" w:cs="Times New Roman"/>
              </w:rPr>
              <w:t>Understanding land tenure security issues in Afgooye</w:t>
            </w:r>
          </w:p>
          <w:p w14:paraId="02D9B6CD" w14:textId="77777777" w:rsidR="00BB3C50" w:rsidRPr="00BB3C50" w:rsidRDefault="00BB3C50" w:rsidP="00BB3C50">
            <w:pPr>
              <w:numPr>
                <w:ilvl w:val="0"/>
                <w:numId w:val="2"/>
              </w:numPr>
              <w:tabs>
                <w:tab w:val="left" w:pos="820"/>
              </w:tabs>
              <w:spacing w:after="120"/>
              <w:contextualSpacing/>
              <w:rPr>
                <w:rFonts w:ascii="Calibri" w:eastAsia="Times New Roman" w:hAnsi="Calibri" w:cs="Times New Roman"/>
              </w:rPr>
            </w:pPr>
            <w:r w:rsidRPr="00BB3C50">
              <w:rPr>
                <w:rFonts w:ascii="Calibri" w:eastAsia="Times New Roman" w:hAnsi="Calibri" w:cs="Times New Roman"/>
              </w:rPr>
              <w:t xml:space="preserve">Expertise and experience in developing and delivery of HLP training programmes and capacity building for government counterpart. </w:t>
            </w:r>
          </w:p>
        </w:tc>
      </w:tr>
      <w:tr w:rsidR="00BB3C50" w:rsidRPr="00BB3C50" w14:paraId="2B050499"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30042B7C" w14:textId="77777777" w:rsidR="00BB3C50" w:rsidRPr="00BB3C50" w:rsidRDefault="00BB3C50" w:rsidP="00BB3C50">
            <w:pPr>
              <w:tabs>
                <w:tab w:val="left" w:pos="820"/>
              </w:tabs>
              <w:spacing w:after="120" w:line="276" w:lineRule="auto"/>
              <w:rPr>
                <w:rFonts w:ascii="Calibri" w:eastAsia="Times New Roman" w:hAnsi="Calibri" w:cs="Times New Roman"/>
                <w:b/>
                <w:bCs/>
              </w:rPr>
            </w:pPr>
            <w:r w:rsidRPr="00BB3C50">
              <w:rPr>
                <w:rFonts w:ascii="Calibri" w:eastAsia="Times New Roman" w:hAnsi="Calibri" w:cs="Times New Roman"/>
                <w:b/>
                <w:bCs/>
              </w:rPr>
              <w:t>Submission of the project proposal</w:t>
            </w:r>
          </w:p>
        </w:tc>
      </w:tr>
      <w:tr w:rsidR="00BB3C50" w:rsidRPr="00BB3C50" w14:paraId="394EC0AA" w14:textId="77777777" w:rsidTr="002E3BAC">
        <w:trPr>
          <w:trHeight w:val="525"/>
          <w:jc w:val="center"/>
        </w:trPr>
        <w:tc>
          <w:tcPr>
            <w:tcW w:w="9015" w:type="dxa"/>
            <w:tcBorders>
              <w:top w:val="single" w:sz="8" w:space="0" w:color="auto"/>
              <w:left w:val="single" w:sz="8" w:space="0" w:color="auto"/>
              <w:bottom w:val="single" w:sz="8" w:space="0" w:color="auto"/>
              <w:right w:val="single" w:sz="8" w:space="0" w:color="auto"/>
            </w:tcBorders>
          </w:tcPr>
          <w:p w14:paraId="7A8E1F2B" w14:textId="77777777"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A brief technical proposal should be submitted presenting a detailed discussion of land issues in Afgooye, proposed methodology to address the issues, suggested project sites, description and justifications, key milestones, outputs, activities, and timelines for delivery. A budget proposal should accompany the technical proposal, which include the proposed budget per output/activity per budget category. Interested Organizations must provide information indicating that they are qualified to perform the activities (description of similar assignments, experience in similar conditions, availability of appropriate skills among staff, </w:t>
            </w:r>
            <w:proofErr w:type="spellStart"/>
            <w:r w:rsidRPr="00BB3C50">
              <w:rPr>
                <w:rFonts w:ascii="Calibri" w:eastAsia="Times New Roman" w:hAnsi="Calibri" w:cs="Times New Roman"/>
              </w:rPr>
              <w:t>etc</w:t>
            </w:r>
            <w:proofErr w:type="spellEnd"/>
            <w:r w:rsidRPr="00BB3C50">
              <w:rPr>
                <w:rFonts w:ascii="Calibri" w:eastAsia="Times New Roman" w:hAnsi="Calibri" w:cs="Times New Roman"/>
              </w:rPr>
              <w:t>).</w:t>
            </w:r>
          </w:p>
        </w:tc>
      </w:tr>
      <w:tr w:rsidR="00BB3C50" w:rsidRPr="00BB3C50" w14:paraId="08058824" w14:textId="77777777" w:rsidTr="002E3BAC">
        <w:trPr>
          <w:jc w:val="center"/>
        </w:trPr>
        <w:tc>
          <w:tcPr>
            <w:tcW w:w="9015" w:type="dxa"/>
            <w:tcBorders>
              <w:top w:val="single" w:sz="8" w:space="0" w:color="auto"/>
              <w:left w:val="single" w:sz="8" w:space="0" w:color="auto"/>
              <w:bottom w:val="single" w:sz="8" w:space="0" w:color="auto"/>
              <w:right w:val="single" w:sz="8" w:space="0" w:color="auto"/>
            </w:tcBorders>
          </w:tcPr>
          <w:p w14:paraId="1D41FFF8" w14:textId="77777777" w:rsidR="00BB3C50" w:rsidRPr="00BB3C50" w:rsidRDefault="00BB3C50" w:rsidP="00BB3C50">
            <w:pPr>
              <w:spacing w:after="120" w:line="276" w:lineRule="auto"/>
              <w:jc w:val="both"/>
              <w:rPr>
                <w:rFonts w:ascii="Calibri" w:eastAsia="Times New Roman" w:hAnsi="Calibri" w:cs="Times New Roman"/>
                <w:b/>
                <w:bCs/>
              </w:rPr>
            </w:pPr>
            <w:r w:rsidRPr="00BB3C50">
              <w:rPr>
                <w:rFonts w:ascii="Calibri" w:eastAsia="Times New Roman" w:hAnsi="Calibri" w:cs="Times New Roman"/>
                <w:b/>
                <w:bCs/>
              </w:rPr>
              <w:t xml:space="preserve">Place and deadline for submission of the project </w:t>
            </w:r>
          </w:p>
        </w:tc>
      </w:tr>
      <w:tr w:rsidR="00BB3C50" w:rsidRPr="00BB3C50" w14:paraId="7AC81076" w14:textId="77777777" w:rsidTr="002E3BAC">
        <w:trPr>
          <w:trHeight w:val="690"/>
          <w:jc w:val="center"/>
        </w:trPr>
        <w:tc>
          <w:tcPr>
            <w:tcW w:w="9015" w:type="dxa"/>
            <w:tcBorders>
              <w:top w:val="single" w:sz="8" w:space="0" w:color="auto"/>
              <w:left w:val="single" w:sz="8" w:space="0" w:color="auto"/>
              <w:bottom w:val="single" w:sz="8" w:space="0" w:color="auto"/>
              <w:right w:val="single" w:sz="8" w:space="0" w:color="auto"/>
            </w:tcBorders>
          </w:tcPr>
          <w:p w14:paraId="574485A6" w14:textId="019AEC64" w:rsidR="00BB3C50" w:rsidRPr="00BB3C50" w:rsidRDefault="00BB3C50" w:rsidP="00BB3C50">
            <w:pPr>
              <w:spacing w:after="120" w:line="276" w:lineRule="auto"/>
              <w:jc w:val="both"/>
              <w:rPr>
                <w:rFonts w:ascii="Calibri" w:eastAsia="Times New Roman" w:hAnsi="Calibri" w:cs="Times New Roman"/>
              </w:rPr>
            </w:pPr>
            <w:r w:rsidRPr="00BB3C50">
              <w:rPr>
                <w:rFonts w:ascii="Calibri" w:eastAsia="Times New Roman" w:hAnsi="Calibri" w:cs="Times New Roman"/>
              </w:rPr>
              <w:t xml:space="preserve">Expression of Interest must be delivered in electronic format no later than </w:t>
            </w:r>
            <w:r w:rsidR="009308D1">
              <w:rPr>
                <w:rFonts w:ascii="Calibri" w:eastAsia="Times New Roman" w:hAnsi="Calibri" w:cs="Times New Roman"/>
              </w:rPr>
              <w:t>2</w:t>
            </w:r>
            <w:r w:rsidR="009308D1">
              <w:rPr>
                <w:rFonts w:ascii="Calibri" w:eastAsia="Times New Roman" w:hAnsi="Calibri" w:cs="Times New Roman"/>
                <w:vertAlign w:val="superscript"/>
              </w:rPr>
              <w:t>nd</w:t>
            </w:r>
            <w:r w:rsidRPr="00BB3C50">
              <w:rPr>
                <w:rFonts w:ascii="Calibri" w:eastAsia="Times New Roman" w:hAnsi="Calibri" w:cs="Times New Roman"/>
              </w:rPr>
              <w:t xml:space="preserve"> </w:t>
            </w:r>
            <w:r w:rsidR="009308D1">
              <w:rPr>
                <w:rFonts w:ascii="Calibri" w:eastAsia="Times New Roman" w:hAnsi="Calibri" w:cs="Times New Roman"/>
              </w:rPr>
              <w:t xml:space="preserve">June </w:t>
            </w:r>
            <w:r w:rsidRPr="00BB3C50">
              <w:rPr>
                <w:rFonts w:ascii="Calibri" w:eastAsia="Times New Roman" w:hAnsi="Calibri" w:cs="Times New Roman"/>
              </w:rPr>
              <w:t xml:space="preserve">2022 Via email to </w:t>
            </w:r>
            <w:hyperlink r:id="rId5" w:history="1">
              <w:r w:rsidRPr="00BB3C50">
                <w:rPr>
                  <w:rFonts w:ascii="Calibri" w:eastAsia="Times New Roman" w:hAnsi="Calibri" w:cs="Times New Roman"/>
                  <w:color w:val="0000FF"/>
                  <w:u w:val="single"/>
                </w:rPr>
                <w:t>hafmohamed@iom.int</w:t>
              </w:r>
            </w:hyperlink>
            <w:r w:rsidRPr="00BB3C50">
              <w:rPr>
                <w:rFonts w:ascii="Calibri" w:eastAsia="Times New Roman" w:hAnsi="Calibri" w:cs="Times New Roman"/>
              </w:rPr>
              <w:t xml:space="preserve"> with </w:t>
            </w:r>
            <w:hyperlink r:id="rId6" w:history="1">
              <w:r w:rsidRPr="00BB3C50">
                <w:rPr>
                  <w:rFonts w:ascii="Calibri" w:eastAsia="Times New Roman" w:hAnsi="Calibri" w:cs="Times New Roman"/>
                  <w:color w:val="0000FF"/>
                  <w:u w:val="single"/>
                </w:rPr>
                <w:t>lbennison@iom.int</w:t>
              </w:r>
            </w:hyperlink>
            <w:r w:rsidRPr="00BB3C50">
              <w:rPr>
                <w:rFonts w:ascii="Calibri" w:eastAsia="Times New Roman" w:hAnsi="Calibri" w:cs="Times New Roman"/>
              </w:rPr>
              <w:t xml:space="preserve"> in copy. All related questions or clarifications must also be coursed through the above email addresses.</w:t>
            </w:r>
          </w:p>
        </w:tc>
      </w:tr>
    </w:tbl>
    <w:p w14:paraId="26D11C5D" w14:textId="77777777" w:rsidR="000D52E9" w:rsidRDefault="000D52E9"/>
    <w:sectPr w:rsidR="000D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79B"/>
    <w:multiLevelType w:val="hybridMultilevel"/>
    <w:tmpl w:val="026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F6444"/>
    <w:multiLevelType w:val="hybridMultilevel"/>
    <w:tmpl w:val="9A52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F71D8"/>
    <w:multiLevelType w:val="hybridMultilevel"/>
    <w:tmpl w:val="E8A6C680"/>
    <w:lvl w:ilvl="0" w:tplc="4C50F12C">
      <w:start w:val="5"/>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45A61"/>
    <w:multiLevelType w:val="hybridMultilevel"/>
    <w:tmpl w:val="A1941FE2"/>
    <w:lvl w:ilvl="0" w:tplc="74FC6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97E90"/>
    <w:multiLevelType w:val="hybridMultilevel"/>
    <w:tmpl w:val="61A43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7651649">
    <w:abstractNumId w:val="1"/>
  </w:num>
  <w:num w:numId="2" w16cid:durableId="1517620771">
    <w:abstractNumId w:val="0"/>
  </w:num>
  <w:num w:numId="3" w16cid:durableId="9183749">
    <w:abstractNumId w:val="3"/>
  </w:num>
  <w:num w:numId="4" w16cid:durableId="1091045110">
    <w:abstractNumId w:val="2"/>
  </w:num>
  <w:num w:numId="5" w16cid:durableId="1231773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50"/>
    <w:rsid w:val="000D52E9"/>
    <w:rsid w:val="001F0F1C"/>
    <w:rsid w:val="002804DA"/>
    <w:rsid w:val="00487DDE"/>
    <w:rsid w:val="007921C1"/>
    <w:rsid w:val="009308D1"/>
    <w:rsid w:val="009D59CA"/>
    <w:rsid w:val="00B303E4"/>
    <w:rsid w:val="00B4285B"/>
    <w:rsid w:val="00BB3C50"/>
    <w:rsid w:val="00CE291E"/>
    <w:rsid w:val="00D314C1"/>
    <w:rsid w:val="00D44987"/>
    <w:rsid w:val="00D84890"/>
    <w:rsid w:val="00D94136"/>
    <w:rsid w:val="00E13A29"/>
    <w:rsid w:val="00FA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F314"/>
  <w15:chartTrackingRefBased/>
  <w15:docId w15:val="{93DCE1C1-4850-402C-BC91-5421186A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B3C50"/>
    <w:pPr>
      <w:widowControl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BB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2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ennison@iom.int" TargetMode="External"/><Relationship Id="rId5" Type="http://schemas.openxmlformats.org/officeDocument/2006/relationships/hyperlink" Target="mailto:hafmohamed@iom.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Hafsa Hussein</dc:creator>
  <cp:keywords/>
  <dc:description/>
  <cp:lastModifiedBy>MOHAMED Hafsa Hussein</cp:lastModifiedBy>
  <cp:revision>2</cp:revision>
  <dcterms:created xsi:type="dcterms:W3CDTF">2022-05-26T03:29:00Z</dcterms:created>
  <dcterms:modified xsi:type="dcterms:W3CDTF">2022-05-26T03:29:00Z</dcterms:modified>
</cp:coreProperties>
</file>